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DFF4" w14:textId="77777777" w:rsidR="00B87BF0" w:rsidRDefault="00B87BF0">
      <w:pPr>
        <w:rPr>
          <w:rFonts w:ascii="Times New Roman" w:hAnsi="Times New Roman"/>
          <w:color w:val="000000" w:themeColor="text1"/>
          <w:sz w:val="24"/>
          <w:szCs w:val="24"/>
        </w:rPr>
      </w:pPr>
    </w:p>
    <w:p w14:paraId="00CE7D72" w14:textId="77777777" w:rsidR="00B87BF0" w:rsidRDefault="00B87BF0">
      <w:pPr>
        <w:rPr>
          <w:rFonts w:ascii="Times New Roman" w:hAnsi="Times New Roman"/>
          <w:color w:val="000000" w:themeColor="text1"/>
          <w:sz w:val="24"/>
          <w:szCs w:val="24"/>
        </w:rPr>
      </w:pPr>
    </w:p>
    <w:p w14:paraId="0CAF1DD0" w14:textId="77777777" w:rsidR="00B87BF0" w:rsidRDefault="00B87BF0">
      <w:pPr>
        <w:spacing w:after="80"/>
        <w:rPr>
          <w:rFonts w:ascii="Times New Roman" w:hAnsi="Times New Roman"/>
          <w:color w:val="000000" w:themeColor="text1"/>
          <w:sz w:val="24"/>
          <w:szCs w:val="24"/>
        </w:rPr>
      </w:pPr>
    </w:p>
    <w:p w14:paraId="35176C29" w14:textId="30742A00" w:rsidR="00B87BF0" w:rsidRPr="00B57FB6" w:rsidRDefault="00B7268A">
      <w:pPr>
        <w:ind w:left="930"/>
        <w:rPr>
          <w:rFonts w:ascii="Times New Roman" w:hAnsi="Times New Roman" w:cs="Times New Roman"/>
          <w:b/>
          <w:bCs/>
          <w:color w:val="010302"/>
        </w:rPr>
      </w:pPr>
      <w:r w:rsidRPr="00B57FB6">
        <w:rPr>
          <w:rFonts w:ascii="Times New Roman" w:hAnsi="Times New Roman" w:cs="Times New Roman"/>
          <w:b/>
          <w:bCs/>
          <w:color w:val="000000"/>
          <w:sz w:val="24"/>
          <w:szCs w:val="24"/>
        </w:rPr>
        <w:t xml:space="preserve">VPM </w:t>
      </w:r>
      <w:r w:rsidR="00000000" w:rsidRPr="00B57FB6">
        <w:rPr>
          <w:rFonts w:ascii="Times New Roman" w:hAnsi="Times New Roman" w:cs="Times New Roman"/>
          <w:b/>
          <w:bCs/>
          <w:color w:val="000000"/>
          <w:sz w:val="24"/>
          <w:szCs w:val="24"/>
        </w:rPr>
        <w:t xml:space="preserve">Open Financial Records Policy  </w:t>
      </w:r>
      <w:r w:rsidR="00B57FB6">
        <w:rPr>
          <w:rFonts w:ascii="Times New Roman" w:hAnsi="Times New Roman" w:cs="Times New Roman"/>
          <w:b/>
          <w:bCs/>
          <w:color w:val="000000"/>
          <w:sz w:val="24"/>
          <w:szCs w:val="24"/>
        </w:rPr>
        <w:br/>
      </w:r>
    </w:p>
    <w:p w14:paraId="5E9D3DB1" w14:textId="77777777" w:rsidR="00B87BF0" w:rsidRDefault="00000000">
      <w:pPr>
        <w:spacing w:before="123"/>
        <w:ind w:left="930"/>
        <w:rPr>
          <w:rFonts w:ascii="Times New Roman" w:hAnsi="Times New Roman" w:cs="Times New Roman"/>
          <w:color w:val="010302"/>
        </w:rPr>
      </w:pPr>
      <w:r>
        <w:rPr>
          <w:rFonts w:ascii="Times New Roman" w:hAnsi="Times New Roman" w:cs="Times New Roman"/>
          <w:color w:val="000000"/>
          <w:sz w:val="24"/>
          <w:szCs w:val="24"/>
        </w:rPr>
        <w:t xml:space="preserve">Whereas Section 396 (k)(5) of the Communications Act of 1934, as amended, provides that   </w:t>
      </w:r>
    </w:p>
    <w:p w14:paraId="51549ADC" w14:textId="0466ED71" w:rsidR="00B87BF0" w:rsidRDefault="00000000">
      <w:pPr>
        <w:spacing w:before="158" w:line="315" w:lineRule="exact"/>
        <w:ind w:left="930" w:right="756"/>
        <w:rPr>
          <w:rFonts w:ascii="Times New Roman" w:hAnsi="Times New Roman" w:cs="Times New Roman"/>
          <w:color w:val="010302"/>
        </w:rPr>
      </w:pPr>
      <w:r>
        <w:rPr>
          <w:rFonts w:ascii="Times New Roman" w:hAnsi="Times New Roman" w:cs="Times New Roman"/>
          <w:color w:val="000000"/>
          <w:sz w:val="24"/>
          <w:szCs w:val="24"/>
        </w:rPr>
        <w:t>Funds may not be distributed pursuant to this subsection to any public telecommunications entity that does not maintain for public</w:t>
      </w:r>
      <w:r w:rsidR="00B726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examination copies of the annual financial and audit reports, or other information regarding finances, submitted to the Corporation pursuant to subsection  </w:t>
      </w:r>
      <w:r>
        <w:br w:type="textWrapping" w:clear="all"/>
      </w:r>
      <w:r>
        <w:rPr>
          <w:rFonts w:ascii="Times New Roman" w:hAnsi="Times New Roman" w:cs="Times New Roman"/>
          <w:color w:val="000000"/>
          <w:sz w:val="24"/>
          <w:szCs w:val="24"/>
        </w:rPr>
        <w:t xml:space="preserve">(l)(3)(B) of this section.  </w:t>
      </w:r>
    </w:p>
    <w:p w14:paraId="35C5CD21" w14:textId="77777777" w:rsidR="00B87BF0" w:rsidRDefault="00000000">
      <w:pPr>
        <w:spacing w:before="123"/>
        <w:ind w:left="930"/>
        <w:rPr>
          <w:rFonts w:ascii="Times New Roman" w:hAnsi="Times New Roman" w:cs="Times New Roman"/>
          <w:color w:val="010302"/>
        </w:rPr>
      </w:pPr>
      <w:r>
        <w:rPr>
          <w:rFonts w:ascii="Times New Roman" w:hAnsi="Times New Roman" w:cs="Times New Roman"/>
          <w:color w:val="000000"/>
          <w:sz w:val="24"/>
          <w:szCs w:val="24"/>
        </w:rPr>
        <w:t xml:space="preserve">And Whereas Section 396 (l)(3)(B) provides that   </w:t>
      </w:r>
    </w:p>
    <w:p w14:paraId="005B315A" w14:textId="77777777" w:rsidR="00B87BF0" w:rsidRDefault="00000000">
      <w:pPr>
        <w:spacing w:before="143"/>
        <w:ind w:left="930"/>
        <w:rPr>
          <w:rFonts w:ascii="Times New Roman" w:hAnsi="Times New Roman" w:cs="Times New Roman"/>
          <w:color w:val="010302"/>
        </w:rPr>
      </w:pPr>
      <w:r>
        <w:rPr>
          <w:rFonts w:ascii="Times New Roman" w:hAnsi="Times New Roman" w:cs="Times New Roman"/>
          <w:color w:val="000000"/>
          <w:sz w:val="24"/>
          <w:szCs w:val="24"/>
        </w:rPr>
        <w:t xml:space="preserve">(B) Each public telecommunications entity receiving funds under this subpart shall be required—   </w:t>
      </w:r>
    </w:p>
    <w:p w14:paraId="4580EC50" w14:textId="2656A9FA" w:rsidR="00B87BF0" w:rsidRDefault="00000000">
      <w:pPr>
        <w:spacing w:line="278" w:lineRule="exact"/>
        <w:ind w:left="930" w:right="1536" w:firstLine="719"/>
        <w:rPr>
          <w:rFonts w:ascii="Times New Roman" w:hAnsi="Times New Roman" w:cs="Times New Roman"/>
          <w:color w:val="010302"/>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to keep its books, records, and accounts in such form as may be required by the </w:t>
      </w:r>
      <w:proofErr w:type="gramStart"/>
      <w:r>
        <w:rPr>
          <w:rFonts w:ascii="Times New Roman" w:hAnsi="Times New Roman" w:cs="Times New Roman"/>
          <w:color w:val="000000"/>
          <w:sz w:val="24"/>
          <w:szCs w:val="24"/>
        </w:rPr>
        <w:t>Corporation;</w:t>
      </w:r>
      <w:proofErr w:type="gramEnd"/>
      <w:r>
        <w:rPr>
          <w:rFonts w:ascii="Times New Roman" w:hAnsi="Times New Roman" w:cs="Times New Roman"/>
          <w:color w:val="000000"/>
          <w:sz w:val="24"/>
          <w:szCs w:val="24"/>
        </w:rPr>
        <w:t xml:space="preserve">   </w:t>
      </w:r>
    </w:p>
    <w:p w14:paraId="7DF68FC1" w14:textId="77777777" w:rsidR="00B87BF0" w:rsidRDefault="00000000">
      <w:pPr>
        <w:ind w:left="1650"/>
        <w:rPr>
          <w:rFonts w:ascii="Times New Roman" w:hAnsi="Times New Roman" w:cs="Times New Roman"/>
          <w:color w:val="010302"/>
        </w:rPr>
      </w:pPr>
      <w:r>
        <w:rPr>
          <w:rFonts w:ascii="Times New Roman" w:hAnsi="Times New Roman" w:cs="Times New Roman"/>
          <w:color w:val="000000"/>
          <w:sz w:val="24"/>
          <w:szCs w:val="24"/>
        </w:rPr>
        <w:t xml:space="preserve">(ii)   </w:t>
      </w:r>
    </w:p>
    <w:p w14:paraId="76F5CD68" w14:textId="77777777" w:rsidR="00B87BF0" w:rsidRDefault="00B87BF0">
      <w:pPr>
        <w:spacing w:after="4"/>
        <w:rPr>
          <w:rFonts w:ascii="Times New Roman" w:hAnsi="Times New Roman"/>
          <w:color w:val="000000" w:themeColor="text1"/>
          <w:sz w:val="24"/>
          <w:szCs w:val="24"/>
        </w:rPr>
      </w:pPr>
    </w:p>
    <w:p w14:paraId="4ED5F702" w14:textId="77777777" w:rsidR="00B87BF0" w:rsidRDefault="00000000">
      <w:pPr>
        <w:spacing w:line="273" w:lineRule="exact"/>
        <w:ind w:left="1650" w:right="903" w:firstLine="720"/>
        <w:rPr>
          <w:rFonts w:ascii="Times New Roman" w:hAnsi="Times New Roman" w:cs="Times New Roman"/>
          <w:color w:val="010302"/>
        </w:rPr>
      </w:pPr>
      <w:r>
        <w:rPr>
          <w:rFonts w:ascii="Times New Roman" w:hAnsi="Times New Roman" w:cs="Times New Roman"/>
          <w:color w:val="000000"/>
          <w:sz w:val="24"/>
          <w:szCs w:val="24"/>
        </w:rPr>
        <w:t xml:space="preserve">(I) to undergo a biennial audit by independent certified public accountants or  </w:t>
      </w:r>
      <w:r>
        <w:br w:type="textWrapping" w:clear="all"/>
      </w:r>
      <w:r>
        <w:rPr>
          <w:rFonts w:ascii="Times New Roman" w:hAnsi="Times New Roman" w:cs="Times New Roman"/>
          <w:color w:val="000000"/>
          <w:sz w:val="24"/>
          <w:szCs w:val="24"/>
        </w:rPr>
        <w:t xml:space="preserve">independent licensed public accountants certified or licensed by a regulatory authority of  </w:t>
      </w:r>
    </w:p>
    <w:p w14:paraId="0171D4AF" w14:textId="77777777" w:rsidR="00B87BF0" w:rsidRDefault="00000000">
      <w:pPr>
        <w:spacing w:line="273" w:lineRule="exact"/>
        <w:ind w:left="1650" w:right="903"/>
        <w:rPr>
          <w:rFonts w:ascii="Times New Roman" w:hAnsi="Times New Roman" w:cs="Times New Roman"/>
          <w:color w:val="010302"/>
        </w:rPr>
      </w:pPr>
      <w:r>
        <w:rPr>
          <w:rFonts w:ascii="Times New Roman" w:hAnsi="Times New Roman" w:cs="Times New Roman"/>
          <w:color w:val="000000"/>
          <w:sz w:val="24"/>
          <w:szCs w:val="24"/>
        </w:rPr>
        <w:t xml:space="preserve">a State, which audit shall be in accordance with auditing standards developed by the  </w:t>
      </w:r>
      <w:r>
        <w:br w:type="textWrapping" w:clear="all"/>
      </w:r>
      <w:r>
        <w:rPr>
          <w:rFonts w:ascii="Times New Roman" w:hAnsi="Times New Roman" w:cs="Times New Roman"/>
          <w:color w:val="000000"/>
          <w:sz w:val="24"/>
          <w:szCs w:val="24"/>
        </w:rPr>
        <w:t xml:space="preserve">Corporation, in consultation with the Comptroller General; or   </w:t>
      </w:r>
    </w:p>
    <w:p w14:paraId="06F8DF98" w14:textId="77777777" w:rsidR="00B87BF0" w:rsidRDefault="00B87BF0">
      <w:pPr>
        <w:spacing w:after="3"/>
        <w:rPr>
          <w:rFonts w:ascii="Times New Roman" w:hAnsi="Times New Roman"/>
          <w:color w:val="000000" w:themeColor="text1"/>
          <w:sz w:val="24"/>
          <w:szCs w:val="24"/>
        </w:rPr>
      </w:pPr>
    </w:p>
    <w:p w14:paraId="14A68F88" w14:textId="6C7E018F" w:rsidR="00B87BF0" w:rsidRDefault="00000000">
      <w:pPr>
        <w:spacing w:line="275" w:lineRule="exact"/>
        <w:ind w:left="1650" w:right="916" w:firstLine="720"/>
        <w:jc w:val="both"/>
        <w:rPr>
          <w:rFonts w:ascii="Times New Roman" w:hAnsi="Times New Roman" w:cs="Times New Roman"/>
          <w:color w:val="010302"/>
        </w:rPr>
      </w:pPr>
      <w:r>
        <w:rPr>
          <w:rFonts w:ascii="Times New Roman" w:hAnsi="Times New Roman" w:cs="Times New Roman"/>
          <w:color w:val="000000"/>
          <w:sz w:val="24"/>
          <w:szCs w:val="24"/>
        </w:rPr>
        <w:t xml:space="preserve">(II) to submit a financial statement in lieu of the audit required by subclause (I) if the Corporation determines that the cost burden of such audit on such entity is excessive in light of the financial condition of such entity; and   </w:t>
      </w:r>
    </w:p>
    <w:p w14:paraId="54DD140F" w14:textId="77777777" w:rsidR="00B87BF0" w:rsidRDefault="00000000">
      <w:pPr>
        <w:ind w:left="930" w:firstLine="719"/>
        <w:rPr>
          <w:rFonts w:ascii="Times New Roman" w:hAnsi="Times New Roman" w:cs="Times New Roman"/>
          <w:color w:val="010302"/>
        </w:rPr>
      </w:pPr>
      <w:r>
        <w:rPr>
          <w:rFonts w:ascii="Times New Roman" w:hAnsi="Times New Roman" w:cs="Times New Roman"/>
          <w:color w:val="000000"/>
          <w:sz w:val="24"/>
          <w:szCs w:val="24"/>
        </w:rPr>
        <w:t xml:space="preserve">(iii) to furnish biennially to the Corporation a copy of the audit report required pursuant  </w:t>
      </w:r>
    </w:p>
    <w:p w14:paraId="405755C2" w14:textId="77777777" w:rsidR="00B87BF0" w:rsidRDefault="00000000">
      <w:pPr>
        <w:ind w:left="930"/>
        <w:rPr>
          <w:rFonts w:ascii="Times New Roman" w:hAnsi="Times New Roman" w:cs="Times New Roman"/>
          <w:color w:val="010302"/>
        </w:rPr>
      </w:pPr>
      <w:r>
        <w:rPr>
          <w:rFonts w:ascii="Times New Roman" w:hAnsi="Times New Roman" w:cs="Times New Roman"/>
          <w:color w:val="000000"/>
          <w:sz w:val="24"/>
          <w:szCs w:val="24"/>
        </w:rPr>
        <w:t xml:space="preserve">to clause (ii), as well as such other information regarding finances (including an annual financial  </w:t>
      </w:r>
    </w:p>
    <w:p w14:paraId="7181CE96" w14:textId="77777777" w:rsidR="00B87BF0" w:rsidRDefault="00000000">
      <w:pPr>
        <w:ind w:left="930"/>
        <w:rPr>
          <w:rFonts w:ascii="Times New Roman" w:hAnsi="Times New Roman" w:cs="Times New Roman"/>
          <w:color w:val="010302"/>
        </w:rPr>
      </w:pPr>
      <w:r>
        <w:rPr>
          <w:rFonts w:ascii="Times New Roman" w:hAnsi="Times New Roman" w:cs="Times New Roman"/>
          <w:color w:val="000000"/>
          <w:sz w:val="24"/>
          <w:szCs w:val="24"/>
        </w:rPr>
        <w:t xml:space="preserve">report) as the Corporation may require.   </w:t>
      </w:r>
    </w:p>
    <w:p w14:paraId="1BDF4BE7" w14:textId="65C3AC11" w:rsidR="00B87BF0" w:rsidRDefault="00B7268A">
      <w:pPr>
        <w:spacing w:line="316" w:lineRule="exact"/>
        <w:ind w:left="930" w:right="836"/>
        <w:rPr>
          <w:rFonts w:ascii="Times New Roman" w:hAnsi="Times New Roman" w:cs="Times New Roman"/>
          <w:color w:val="010302"/>
        </w:rPr>
        <w:sectPr w:rsidR="00B87BF0">
          <w:type w:val="continuous"/>
          <w:pgSz w:w="12250" w:h="15850"/>
          <w:pgMar w:top="500" w:right="500" w:bottom="400" w:left="500" w:header="708" w:footer="708" w:gutter="0"/>
          <w:cols w:space="720"/>
          <w:docGrid w:linePitch="360"/>
        </w:sectPr>
      </w:pPr>
      <w:r>
        <w:rPr>
          <w:rFonts w:ascii="Times New Roman" w:hAnsi="Times New Roman" w:cs="Times New Roman"/>
          <w:color w:val="000000"/>
          <w:sz w:val="24"/>
          <w:szCs w:val="24"/>
        </w:rPr>
        <w:t>VPM Media</w:t>
      </w:r>
      <w:r w:rsidR="00000000">
        <w:rPr>
          <w:rFonts w:ascii="Times New Roman" w:hAnsi="Times New Roman" w:cs="Times New Roman"/>
          <w:color w:val="000000"/>
          <w:sz w:val="24"/>
          <w:szCs w:val="24"/>
        </w:rPr>
        <w:t xml:space="preserve"> Corporation will make its annual financial and audit reports available for public inspection at 23 Sesame Street, Richmond, Virginia, and at  </w:t>
      </w:r>
      <w:r w:rsidR="00000000">
        <w:br w:type="textWrapping" w:clear="all"/>
      </w:r>
      <w:hyperlink r:id="rId4" w:history="1">
        <w:r w:rsidRPr="008645EE">
          <w:rPr>
            <w:rStyle w:val="Hyperlink"/>
            <w:rFonts w:ascii="Times New Roman" w:hAnsi="Times New Roman" w:cs="Times New Roman"/>
            <w:sz w:val="24"/>
            <w:szCs w:val="24"/>
          </w:rPr>
          <w:t>www.vpm.org</w:t>
        </w:r>
      </w:hyperlink>
      <w:r w:rsidR="00000000">
        <w:rPr>
          <w:rFonts w:ascii="Times New Roman" w:hAnsi="Times New Roman" w:cs="Times New Roman"/>
          <w:color w:val="000000"/>
          <w:sz w:val="24"/>
          <w:szCs w:val="24"/>
        </w:rPr>
        <w:t xml:space="preserve">. Requests for financial reports should be sent to </w:t>
      </w:r>
      <w:r>
        <w:t>accounting@vpm.org</w:t>
      </w:r>
      <w:r w:rsidR="00000000">
        <w:rPr>
          <w:rFonts w:ascii="Times New Roman" w:hAnsi="Times New Roman" w:cs="Times New Roman"/>
          <w:color w:val="000000"/>
          <w:sz w:val="24"/>
          <w:szCs w:val="24"/>
        </w:rPr>
        <w:t xml:space="preserve">.  </w:t>
      </w:r>
    </w:p>
    <w:p w14:paraId="606F96B0" w14:textId="77777777" w:rsidR="00B87BF0" w:rsidRDefault="00B87BF0"/>
    <w:sectPr w:rsidR="00B87BF0">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87BF0"/>
    <w:rsid w:val="003B664F"/>
    <w:rsid w:val="00B57FB6"/>
    <w:rsid w:val="00B7268A"/>
    <w:rsid w:val="00B87BF0"/>
    <w:rsid w:val="00C4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3BFD"/>
  <w15:docId w15:val="{41712A95-DE2D-4AF1-839A-A33A5C70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B7268A"/>
    <w:pPr>
      <w:widowControl/>
    </w:pPr>
  </w:style>
  <w:style w:type="character" w:styleId="Hyperlink">
    <w:name w:val="Hyperlink"/>
    <w:basedOn w:val="DefaultParagraphFont"/>
    <w:uiPriority w:val="99"/>
    <w:unhideWhenUsed/>
    <w:rsid w:val="00B7268A"/>
    <w:rPr>
      <w:color w:val="0000FF" w:themeColor="hyperlink"/>
      <w:u w:val="single"/>
    </w:rPr>
  </w:style>
  <w:style w:type="character" w:styleId="UnresolvedMention">
    <w:name w:val="Unresolved Mention"/>
    <w:basedOn w:val="DefaultParagraphFont"/>
    <w:uiPriority w:val="99"/>
    <w:semiHidden/>
    <w:unhideWhenUsed/>
    <w:rsid w:val="00B7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Payne</cp:lastModifiedBy>
  <cp:revision>4</cp:revision>
  <dcterms:created xsi:type="dcterms:W3CDTF">2023-01-25T15:35:00Z</dcterms:created>
  <dcterms:modified xsi:type="dcterms:W3CDTF">2023-01-25T15:37:00Z</dcterms:modified>
</cp:coreProperties>
</file>